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911A50">
      <w:pPr>
        <w:jc w:val="both"/>
        <w:rPr>
          <w:rFonts w:ascii="Times New Roman" w:hAnsi="Times New Roman"/>
          <w:i/>
          <w:sz w:val="24"/>
          <w:szCs w:val="24"/>
        </w:rPr>
      </w:pPr>
      <w:r>
        <w:rPr>
          <w:rFonts w:ascii="Times New Roman" w:hAnsi="Times New Roman"/>
          <w:sz w:val="24"/>
          <w:szCs w:val="24"/>
        </w:rPr>
        <w:t>г. ______________</w:t>
      </w:r>
      <w:r w:rsidR="00911A50">
        <w:rPr>
          <w:rFonts w:ascii="Times New Roman" w:hAnsi="Times New Roman"/>
          <w:sz w:val="24"/>
          <w:szCs w:val="24"/>
        </w:rPr>
        <w:t xml:space="preserve">                                                                                            </w:t>
      </w:r>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94246C">
        <w:rPr>
          <w:rFonts w:ascii="Times New Roman" w:hAnsi="Times New Roman"/>
          <w:sz w:val="24"/>
          <w:szCs w:val="24"/>
        </w:rPr>
        <w:t>____________________</w:t>
      </w:r>
      <w:r>
        <w:rPr>
          <w:rFonts w:ascii="Times New Roman" w:hAnsi="Times New Roman"/>
          <w:sz w:val="24"/>
          <w:szCs w:val="24"/>
        </w:rPr>
        <w:t>___________</w:t>
      </w:r>
      <w:r w:rsidR="0094246C">
        <w:rPr>
          <w:rFonts w:ascii="Times New Roman" w:hAnsi="Times New Roman"/>
          <w:sz w:val="24"/>
          <w:szCs w:val="24"/>
        </w:rPr>
        <w:t>___________________________</w:t>
      </w:r>
      <w:r>
        <w:rPr>
          <w:rFonts w:ascii="Times New Roman" w:hAnsi="Times New Roman"/>
          <w:sz w:val="24"/>
          <w:szCs w:val="24"/>
        </w:rPr>
        <w:t>_______________</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022382">
        <w:rPr>
          <w:rFonts w:ascii="Times New Roman" w:hAnsi="Times New Roman"/>
          <w:sz w:val="24"/>
          <w:szCs w:val="24"/>
        </w:rPr>
        <w:t>_____________________</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t>_______________</w:t>
      </w:r>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Интернет ______________</w:t>
      </w:r>
      <w:r w:rsidR="0094246C">
        <w:rPr>
          <w:rFonts w:ascii="Times New Roman" w:hAnsi="Times New Roman"/>
          <w:sz w:val="24"/>
          <w:szCs w:val="24"/>
        </w:rPr>
        <w:t>_</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lastRenderedPageBreak/>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794937">
        <w:rPr>
          <w:rFonts w:ascii="Times New Roman" w:hAnsi="Times New Roman"/>
          <w:sz w:val="24"/>
          <w:szCs w:val="24"/>
        </w:rPr>
        <w:t>____________________</w:t>
      </w:r>
      <w:r w:rsidR="0094246C">
        <w:rPr>
          <w:rFonts w:ascii="Times New Roman" w:hAnsi="Times New Roman"/>
          <w:sz w:val="24"/>
          <w:szCs w:val="24"/>
        </w:rPr>
        <w:t>__________</w:t>
      </w:r>
      <w:r w:rsidR="00794937">
        <w:rPr>
          <w:rFonts w:ascii="Times New Roman" w:hAnsi="Times New Roman"/>
          <w:sz w:val="24"/>
          <w:szCs w:val="24"/>
        </w:rPr>
        <w:t>__________________________________.</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794937">
        <w:rPr>
          <w:rFonts w:ascii="Times New Roman" w:hAnsi="Times New Roman"/>
          <w:sz w:val="24"/>
          <w:szCs w:val="24"/>
        </w:rPr>
        <w:t>________________________</w:t>
      </w:r>
      <w:r w:rsidR="0094246C">
        <w:rPr>
          <w:rFonts w:ascii="Times New Roman" w:hAnsi="Times New Roman"/>
          <w:sz w:val="24"/>
          <w:szCs w:val="24"/>
        </w:rPr>
        <w:t>_________</w:t>
      </w:r>
      <w:r w:rsidR="00794937">
        <w:rPr>
          <w:rFonts w:ascii="Times New Roman" w:hAnsi="Times New Roman"/>
          <w:sz w:val="24"/>
          <w:szCs w:val="24"/>
        </w:rPr>
        <w:t>_________________________________.</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794937">
        <w:rPr>
          <w:rFonts w:ascii="Times New Roman" w:hAnsi="Times New Roman"/>
          <w:sz w:val="24"/>
          <w:szCs w:val="24"/>
        </w:rPr>
        <w:t>___</w:t>
      </w:r>
      <w:r w:rsidR="0094246C">
        <w:rPr>
          <w:rFonts w:ascii="Times New Roman" w:hAnsi="Times New Roman"/>
          <w:sz w:val="24"/>
          <w:szCs w:val="24"/>
        </w:rPr>
        <w:t>__________</w:t>
      </w:r>
      <w:r w:rsidR="00794937">
        <w:rPr>
          <w:rFonts w:ascii="Times New Roman" w:hAnsi="Times New Roman"/>
          <w:sz w:val="24"/>
          <w:szCs w:val="24"/>
        </w:rPr>
        <w:t>____________________.</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794937">
        <w:rPr>
          <w:rFonts w:ascii="Times New Roman" w:hAnsi="Times New Roman"/>
          <w:sz w:val="24"/>
          <w:szCs w:val="24"/>
        </w:rPr>
        <w:t>______________</w:t>
      </w:r>
      <w:r w:rsidR="0094246C">
        <w:rPr>
          <w:rFonts w:ascii="Times New Roman" w:hAnsi="Times New Roman"/>
          <w:sz w:val="24"/>
          <w:szCs w:val="24"/>
        </w:rPr>
        <w:t>_</w:t>
      </w:r>
      <w:r w:rsidRPr="00CA2297">
        <w:rPr>
          <w:rFonts w:ascii="Times New Roman" w:hAnsi="Times New Roman"/>
          <w:sz w:val="24"/>
          <w:szCs w:val="24"/>
        </w:rPr>
        <w:t>, ИНН/КПП:</w:t>
      </w:r>
      <w:r w:rsidR="0094246C">
        <w:rPr>
          <w:rFonts w:ascii="Times New Roman" w:hAnsi="Times New Roman"/>
          <w:sz w:val="24"/>
          <w:szCs w:val="24"/>
        </w:rPr>
        <w:t xml:space="preserve"> </w:t>
      </w:r>
      <w:r w:rsidR="00794937">
        <w:rPr>
          <w:rFonts w:ascii="Times New Roman" w:hAnsi="Times New Roman"/>
          <w:sz w:val="24"/>
          <w:szCs w:val="24"/>
        </w:rPr>
        <w:t>_______________</w:t>
      </w:r>
      <w:r w:rsidRPr="00CA2297">
        <w:rPr>
          <w:rFonts w:ascii="Times New Roman" w:hAnsi="Times New Roman"/>
          <w:sz w:val="24"/>
          <w:szCs w:val="24"/>
        </w:rPr>
        <w:t>, ОГРН:</w:t>
      </w:r>
      <w:r w:rsidR="0094246C">
        <w:rPr>
          <w:rFonts w:ascii="Times New Roman" w:hAnsi="Times New Roman"/>
          <w:sz w:val="24"/>
          <w:szCs w:val="24"/>
        </w:rPr>
        <w:t xml:space="preserve"> </w:t>
      </w:r>
      <w:r w:rsidR="00794937">
        <w:rPr>
          <w:rFonts w:ascii="Times New Roman" w:hAnsi="Times New Roman"/>
          <w:sz w:val="24"/>
          <w:szCs w:val="24"/>
        </w:rPr>
        <w:t>_____________</w:t>
      </w:r>
      <w:r w:rsidR="0094246C">
        <w:rPr>
          <w:rFonts w:ascii="Times New Roman" w:hAnsi="Times New Roman"/>
          <w:sz w:val="24"/>
          <w:szCs w:val="24"/>
        </w:rPr>
        <w:t>__.</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_______________</w:t>
      </w:r>
      <w:r w:rsidR="0094246C">
        <w:rPr>
          <w:rFonts w:ascii="Times New Roman" w:hAnsi="Times New Roman"/>
          <w:sz w:val="24"/>
          <w:szCs w:val="24"/>
        </w:rPr>
        <w:t xml:space="preserve"> </w:t>
      </w:r>
      <w:r w:rsidRPr="001E0FDD">
        <w:rPr>
          <w:rFonts w:ascii="Times New Roman" w:hAnsi="Times New Roman"/>
          <w:sz w:val="24"/>
          <w:szCs w:val="24"/>
        </w:rPr>
        <w:t>«Многофункциональный центр по предоставлению</w:t>
      </w:r>
      <w:r w:rsidRPr="007747A1">
        <w:rPr>
          <w:rFonts w:ascii="Times New Roman" w:hAnsi="Times New Roman"/>
          <w:sz w:val="24"/>
          <w:szCs w:val="24"/>
        </w:rPr>
        <w:t xml:space="preserve"> государственных и муниципальных услуг </w:t>
      </w:r>
      <w:r>
        <w:rPr>
          <w:rFonts w:ascii="Times New Roman" w:hAnsi="Times New Roman"/>
          <w:sz w:val="24"/>
          <w:szCs w:val="24"/>
        </w:rPr>
        <w:t>_______________</w:t>
      </w:r>
      <w:r w:rsidR="0094246C">
        <w:rPr>
          <w:rFonts w:ascii="Times New Roman" w:hAnsi="Times New Roman"/>
          <w:sz w:val="24"/>
          <w:szCs w:val="24"/>
        </w:rPr>
        <w:t xml:space="preserve"> </w:t>
      </w:r>
      <w:r w:rsidRPr="007747A1">
        <w:rPr>
          <w:rFonts w:ascii="Times New Roman" w:hAnsi="Times New Roman"/>
          <w:sz w:val="24"/>
          <w:szCs w:val="24"/>
        </w:rPr>
        <w:t>Московской области»</w:t>
      </w:r>
    </w:p>
    <w:p w:rsidR="007F158B" w:rsidRPr="00D73F59" w:rsidRDefault="0094246C" w:rsidP="0094246C">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proofErr w:type="gramStart"/>
      <w:r w:rsidRPr="0094246C">
        <w:rPr>
          <w:rFonts w:ascii="Times New Roman" w:hAnsi="Times New Roman"/>
          <w:i/>
          <w:sz w:val="24"/>
          <w:szCs w:val="24"/>
        </w:rPr>
        <w:t xml:space="preserve">МФЦ </w:t>
      </w:r>
      <w:r w:rsidRPr="0094246C">
        <w:rPr>
          <w:rFonts w:ascii="Times New Roman" w:hAnsi="Times New Roman"/>
          <w:sz w:val="24"/>
          <w:szCs w:val="24"/>
        </w:rPr>
        <w:t xml:space="preserve"> в</w:t>
      </w:r>
      <w:proofErr w:type="gramEnd"/>
      <w:r w:rsidRPr="0094246C">
        <w:rPr>
          <w:rFonts w:ascii="Times New Roman" w:hAnsi="Times New Roman"/>
          <w:sz w:val="24"/>
          <w:szCs w:val="24"/>
        </w:rPr>
        <w:t xml:space="preserve"> сети Интернет – </w:t>
      </w:r>
      <w:hyperlink r:id="rId6" w:tgtFrame="_blank" w:tooltip="http://www.odinmfc.ru" w:history="1">
        <w:r w:rsidRPr="0094246C">
          <w:rPr>
            <w:rStyle w:val="a3"/>
            <w:rFonts w:ascii="Roboto" w:hAnsi="Roboto"/>
            <w:color w:val="auto"/>
            <w:sz w:val="21"/>
            <w:szCs w:val="21"/>
            <w:shd w:val="clear" w:color="auto" w:fill="FFFFFF"/>
          </w:rPr>
          <w:t>_______________</w:t>
        </w:r>
      </w:hyperlink>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RDefault="009815C0" w:rsidP="005369C6">
      <w:pPr>
        <w:jc w:val="right"/>
        <w:rPr>
          <w:rFonts w:ascii="Times New Roman" w:hAnsi="Times New Roman"/>
          <w:b/>
          <w:sz w:val="24"/>
          <w:szCs w:val="24"/>
        </w:rPr>
      </w:pPr>
      <w:bookmarkStart w:id="0" w:name="mail-clipboard-id-5048084290311187823074"/>
      <w:bookmarkEnd w:id="0"/>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816DBA" w:rsidRDefault="00816DBA"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A08EF" w:rsidRPr="00CA2297" w:rsidRDefault="007A08EF" w:rsidP="007D0062">
      <w:pPr>
        <w:ind w:firstLine="567"/>
        <w:jc w:val="center"/>
        <w:outlineLvl w:val="2"/>
        <w:rPr>
          <w:rFonts w:ascii="Times New Roman" w:eastAsia="Times New Roman" w:hAnsi="Times New Roman"/>
          <w:b/>
          <w:caps/>
          <w:sz w:val="28"/>
          <w:szCs w:val="28"/>
        </w:rPr>
      </w:pPr>
      <w:bookmarkStart w:id="1" w:name="_GoBack"/>
      <w:bookmarkEnd w:id="1"/>
      <w:r w:rsidRPr="007A08EF">
        <w:rPr>
          <w:rFonts w:ascii="Times New Roman" w:eastAsia="Times New Roman" w:hAnsi="Times New Roman"/>
          <w:b/>
          <w:caps/>
          <w:sz w:val="28"/>
          <w:szCs w:val="28"/>
        </w:rPr>
        <w:t>оказания услуг по распространению физическим лицам электронных средств регистрации проезда (транспондеров), оплаченных на сайте Принципала.</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296BC1" w:rsidRDefault="007D0062" w:rsidP="007D0062">
      <w:pPr>
        <w:ind w:firstLine="567"/>
        <w:jc w:val="both"/>
        <w:rPr>
          <w:rFonts w:ascii="Times New Roman" w:eastAsia="Times New Roman" w:hAnsi="Times New Roman"/>
          <w:sz w:val="24"/>
          <w:szCs w:val="24"/>
        </w:rPr>
      </w:pPr>
      <w:r>
        <w:rPr>
          <w:rFonts w:ascii="Times New Roman" w:eastAsia="Times New Roman" w:hAnsi="Times New Roman"/>
          <w:b/>
          <w:sz w:val="24"/>
          <w:szCs w:val="24"/>
        </w:rPr>
        <w:t>_______________</w:t>
      </w:r>
      <w:r w:rsidRPr="00296BC1">
        <w:rPr>
          <w:rFonts w:ascii="Times New Roman" w:eastAsia="Times New Roman" w:hAnsi="Times New Roman"/>
          <w:sz w:val="24"/>
          <w:szCs w:val="24"/>
        </w:rPr>
        <w:t xml:space="preserve"> в лице ____</w:t>
      </w:r>
      <w:r w:rsidR="000826D8">
        <w:rPr>
          <w:rFonts w:ascii="Times New Roman" w:eastAsia="Times New Roman" w:hAnsi="Times New Roman"/>
          <w:sz w:val="24"/>
          <w:szCs w:val="24"/>
        </w:rPr>
        <w:t>___</w:t>
      </w:r>
      <w:r w:rsidRPr="00296BC1">
        <w:rPr>
          <w:rFonts w:ascii="Times New Roman" w:eastAsia="Times New Roman" w:hAnsi="Times New Roman"/>
          <w:sz w:val="24"/>
          <w:szCs w:val="24"/>
        </w:rPr>
        <w:t>______</w:t>
      </w:r>
      <w:r w:rsidR="000826D8">
        <w:rPr>
          <w:rFonts w:ascii="Times New Roman" w:eastAsia="Times New Roman" w:hAnsi="Times New Roman"/>
          <w:sz w:val="24"/>
          <w:szCs w:val="24"/>
        </w:rPr>
        <w:t>__</w:t>
      </w:r>
      <w:r w:rsidRPr="00296BC1">
        <w:rPr>
          <w:rFonts w:ascii="Times New Roman" w:eastAsia="Times New Roman" w:hAnsi="Times New Roman"/>
          <w:sz w:val="24"/>
          <w:szCs w:val="24"/>
        </w:rPr>
        <w:t>, действующего на основании _______</w:t>
      </w:r>
      <w:r w:rsidR="000826D8">
        <w:rPr>
          <w:rFonts w:ascii="Times New Roman" w:eastAsia="Times New Roman" w:hAnsi="Times New Roman"/>
          <w:sz w:val="24"/>
          <w:szCs w:val="24"/>
        </w:rPr>
        <w:t>________</w:t>
      </w:r>
      <w:r w:rsidRPr="00296BC1">
        <w:rPr>
          <w:rFonts w:ascii="Times New Roman" w:eastAsia="Times New Roman" w:hAnsi="Times New Roman"/>
          <w:sz w:val="24"/>
          <w:szCs w:val="24"/>
        </w:rPr>
        <w:t xml:space="preserve">, именуемый в дальнейшем </w:t>
      </w:r>
      <w:r w:rsidRPr="00296BC1">
        <w:rPr>
          <w:rFonts w:ascii="Times New Roman" w:eastAsia="Times New Roman" w:hAnsi="Times New Roman"/>
          <w:b/>
          <w:sz w:val="24"/>
          <w:szCs w:val="24"/>
        </w:rPr>
        <w:t>«Агент»</w:t>
      </w:r>
      <w:r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Pr="00296BC1">
        <w:rPr>
          <w:rFonts w:ascii="Times New Roman" w:eastAsia="Times New Roman" w:hAnsi="Times New Roman"/>
          <w:sz w:val="24"/>
          <w:szCs w:val="24"/>
        </w:rPr>
        <w:t>, действующего на основании Устава,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proofErr w:type="gramStart"/>
      <w:r w:rsidR="00E2600C" w:rsidRPr="001E0FDD">
        <w:rPr>
          <w:rFonts w:ascii="Times New Roman" w:hAnsi="Times New Roman"/>
          <w:sz w:val="24"/>
          <w:szCs w:val="24"/>
        </w:rPr>
        <w:t>приобретения  и</w:t>
      </w:r>
      <w:proofErr w:type="gramEnd"/>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022382">
        <w:rPr>
          <w:rFonts w:ascii="Times New Roman" w:hAnsi="Times New Roman"/>
          <w:sz w:val="24"/>
          <w:szCs w:val="24"/>
        </w:rPr>
        <w:t>__________________</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консультирует Принципала</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7"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7A08EF">
        <w:rPr>
          <w:rFonts w:ascii="Times New Roman" w:hAnsi="Times New Roman"/>
          <w:color w:val="000000"/>
          <w:sz w:val="24"/>
          <w:szCs w:val="24"/>
        </w:rPr>
        <w:t>по «31</w:t>
      </w:r>
      <w:r w:rsidR="007D0062" w:rsidRPr="007A08EF">
        <w:rPr>
          <w:rFonts w:ascii="Times New Roman" w:hAnsi="Times New Roman"/>
          <w:color w:val="000000"/>
          <w:sz w:val="24"/>
          <w:szCs w:val="24"/>
        </w:rPr>
        <w:t xml:space="preserve">» </w:t>
      </w:r>
      <w:r w:rsidR="00074403" w:rsidRPr="007A08EF">
        <w:rPr>
          <w:rFonts w:ascii="Times New Roman" w:hAnsi="Times New Roman"/>
          <w:color w:val="000000"/>
          <w:sz w:val="24"/>
          <w:szCs w:val="24"/>
        </w:rPr>
        <w:t xml:space="preserve">декабря </w:t>
      </w:r>
      <w:r w:rsidR="007D0062" w:rsidRPr="007A08EF">
        <w:rPr>
          <w:rFonts w:ascii="Times New Roman" w:hAnsi="Times New Roman"/>
          <w:color w:val="000000"/>
          <w:sz w:val="24"/>
          <w:szCs w:val="24"/>
        </w:rPr>
        <w:t>20</w:t>
      </w:r>
      <w:r w:rsidR="00ED3CCA" w:rsidRPr="007A08EF">
        <w:rPr>
          <w:rFonts w:ascii="Times New Roman" w:hAnsi="Times New Roman"/>
          <w:color w:val="000000"/>
          <w:sz w:val="24"/>
          <w:szCs w:val="24"/>
        </w:rPr>
        <w:t>20</w:t>
      </w:r>
      <w:r w:rsidR="00074403" w:rsidRPr="007A08EF">
        <w:rPr>
          <w:rFonts w:ascii="Times New Roman" w:hAnsi="Times New Roman"/>
          <w:color w:val="000000"/>
          <w:sz w:val="24"/>
          <w:szCs w:val="24"/>
        </w:rPr>
        <w:t xml:space="preserve"> </w:t>
      </w:r>
      <w:r w:rsidR="007D0062" w:rsidRPr="007A08EF">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Акт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911A50" w:rsidRDefault="00911A50" w:rsidP="007D0062">
      <w:pPr>
        <w:ind w:firstLine="567"/>
        <w:jc w:val="both"/>
        <w:rPr>
          <w:rFonts w:ascii="Times New Roman" w:eastAsia="Times New Roman" w:hAnsi="Times New Roman"/>
          <w:sz w:val="28"/>
          <w:szCs w:val="28"/>
        </w:rPr>
      </w:pPr>
    </w:p>
    <w:p w:rsidR="00911A50" w:rsidRDefault="00911A50" w:rsidP="007D0062">
      <w:pPr>
        <w:ind w:firstLine="567"/>
        <w:jc w:val="both"/>
        <w:rPr>
          <w:rFonts w:ascii="Times New Roman" w:eastAsia="Times New Roman" w:hAnsi="Times New Roman"/>
          <w:sz w:val="28"/>
          <w:szCs w:val="28"/>
        </w:rPr>
      </w:pPr>
    </w:p>
    <w:p w:rsidR="009102F3" w:rsidRDefault="009102F3" w:rsidP="007D0062">
      <w:pPr>
        <w:ind w:firstLine="567"/>
        <w:jc w:val="both"/>
        <w:rPr>
          <w:rFonts w:ascii="Times New Roman" w:eastAsia="Times New Roman" w:hAnsi="Times New Roman"/>
          <w:sz w:val="28"/>
          <w:szCs w:val="28"/>
        </w:rPr>
      </w:pPr>
    </w:p>
    <w:p w:rsidR="009102F3" w:rsidRDefault="009102F3" w:rsidP="007D0062">
      <w:pPr>
        <w:ind w:firstLine="567"/>
        <w:jc w:val="both"/>
        <w:rPr>
          <w:rFonts w:ascii="Times New Roman" w:eastAsia="Times New Roman" w:hAnsi="Times New Roman"/>
          <w:sz w:val="28"/>
          <w:szCs w:val="28"/>
        </w:rPr>
      </w:pPr>
    </w:p>
    <w:p w:rsidR="009102F3" w:rsidRPr="00CA2297" w:rsidRDefault="009102F3"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DE7B56">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p w:rsidR="007D0062" w:rsidRPr="00296BC1" w:rsidRDefault="007D0062" w:rsidP="00DE7B5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852659" w:rsidRDefault="00852659" w:rsidP="00ED3CCA">
      <w:pPr>
        <w:rPr>
          <w:rFonts w:ascii="Times New Roman" w:hAnsi="Times New Roman"/>
          <w:i/>
          <w:sz w:val="28"/>
          <w:szCs w:val="28"/>
        </w:rPr>
      </w:pPr>
    </w:p>
    <w:p w:rsidR="00ED3CCA" w:rsidRDefault="00ED3CCA" w:rsidP="00ED3CCA">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8"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2" w:name="P462"/>
      <w:bookmarkEnd w:id="2"/>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rsidTr="000826D8">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0826D8">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 xml:space="preserve">Распространение </w:t>
            </w:r>
            <w:proofErr w:type="gramStart"/>
            <w:r w:rsidRPr="00852659">
              <w:rPr>
                <w:rFonts w:ascii="Times New Roman" w:hAnsi="Times New Roman"/>
                <w:sz w:val="24"/>
                <w:szCs w:val="24"/>
              </w:rPr>
              <w:t>Заявителям  электронных</w:t>
            </w:r>
            <w:proofErr w:type="gramEnd"/>
            <w:r w:rsidRPr="00852659">
              <w:rPr>
                <w:rFonts w:ascii="Times New Roman" w:hAnsi="Times New Roman"/>
                <w:sz w:val="24"/>
                <w:szCs w:val="24"/>
              </w:rPr>
              <w:t xml:space="preserve">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sidR="00852659">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9"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proofErr w:type="gramStart"/>
            <w:r w:rsidRPr="00CD788E">
              <w:rPr>
                <w:rFonts w:ascii="Times New Roman" w:hAnsi="Times New Roman"/>
                <w:b/>
              </w:rPr>
              <w:t>Наименование  распространенного</w:t>
            </w:r>
            <w:proofErr w:type="gramEnd"/>
            <w:r w:rsidRPr="00CD788E">
              <w:rPr>
                <w:rFonts w:ascii="Times New Roman" w:hAnsi="Times New Roman"/>
                <w:b/>
              </w:rPr>
              <w:t xml:space="preserve">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lastRenderedPageBreak/>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lastRenderedPageBreak/>
              <w:t>_________________/________________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lastRenderedPageBreak/>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ED3CCA" w:rsidRDefault="00ED3CCA" w:rsidP="00852659">
      <w:pPr>
        <w:ind w:firstLine="567"/>
        <w:jc w:val="right"/>
        <w:rPr>
          <w:rFonts w:ascii="Times New Roman" w:hAnsi="Times New Roman"/>
          <w:b/>
          <w:sz w:val="24"/>
          <w:szCs w:val="24"/>
        </w:rPr>
      </w:pPr>
    </w:p>
    <w:p w:rsidR="008A21AF" w:rsidRDefault="008A21AF"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proofErr w:type="gramStart"/>
            <w:r w:rsidRPr="00D275B4">
              <w:rPr>
                <w:rFonts w:ascii="Times New Roman" w:hAnsi="Times New Roman"/>
                <w:b/>
                <w:bCs/>
                <w:sz w:val="24"/>
                <w:szCs w:val="24"/>
              </w:rPr>
              <w:t>дом)</w:t>
            </w:r>
            <w:r w:rsidRPr="00D275B4">
              <w:rPr>
                <w:rFonts w:ascii="Times New Roman" w:hAnsi="Times New Roman"/>
                <w:b/>
                <w:bCs/>
                <w:sz w:val="24"/>
                <w:szCs w:val="24"/>
              </w:rPr>
              <w:tab/>
            </w:r>
            <w:proofErr w:type="gramEnd"/>
          </w:p>
        </w:tc>
      </w:tr>
      <w:tr w:rsidR="009102F3" w:rsidRPr="00F72892" w:rsidTr="00804527">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rPr>
            </w:pP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7D0062" w:rsidP="00DE7B56">
            <w:pPr>
              <w:pStyle w:val="a9"/>
              <w:rPr>
                <w:rFonts w:ascii="Times New Roman" w:hAnsi="Times New Roman" w:cs="Times New Roman"/>
              </w:rPr>
            </w:pP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E2104D" w:rsidP="00911A50">
      <w:pPr>
        <w:tabs>
          <w:tab w:val="left" w:pos="851"/>
        </w:tabs>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003990" w:rsidRDefault="00EB0C31" w:rsidP="00EB0C31">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77CC"/>
    <w:rsid w:val="002E07CB"/>
    <w:rsid w:val="002E4737"/>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B768C"/>
    <w:rsid w:val="004D34DE"/>
    <w:rsid w:val="004E2D09"/>
    <w:rsid w:val="004E74A4"/>
    <w:rsid w:val="004F68AE"/>
    <w:rsid w:val="00516658"/>
    <w:rsid w:val="00523376"/>
    <w:rsid w:val="005337D9"/>
    <w:rsid w:val="005365CC"/>
    <w:rsid w:val="005369C6"/>
    <w:rsid w:val="00550D22"/>
    <w:rsid w:val="0055303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94937"/>
    <w:rsid w:val="00797A42"/>
    <w:rsid w:val="007A08EF"/>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845E3"/>
    <w:rsid w:val="00893498"/>
    <w:rsid w:val="008A1F35"/>
    <w:rsid w:val="008A21AF"/>
    <w:rsid w:val="008B7591"/>
    <w:rsid w:val="008F114C"/>
    <w:rsid w:val="009102F3"/>
    <w:rsid w:val="00911A50"/>
    <w:rsid w:val="009148B9"/>
    <w:rsid w:val="00936A66"/>
    <w:rsid w:val="00940EA8"/>
    <w:rsid w:val="00941CCC"/>
    <w:rsid w:val="0094246C"/>
    <w:rsid w:val="00971BD4"/>
    <w:rsid w:val="00971CB5"/>
    <w:rsid w:val="009744A6"/>
    <w:rsid w:val="00974A7A"/>
    <w:rsid w:val="00977233"/>
    <w:rsid w:val="009815C0"/>
    <w:rsid w:val="009826E9"/>
    <w:rsid w:val="009B2CE2"/>
    <w:rsid w:val="009B4D0B"/>
    <w:rsid w:val="009E2FEE"/>
    <w:rsid w:val="00A065E7"/>
    <w:rsid w:val="00A20C08"/>
    <w:rsid w:val="00A2634C"/>
    <w:rsid w:val="00A47E80"/>
    <w:rsid w:val="00A70520"/>
    <w:rsid w:val="00A96BA2"/>
    <w:rsid w:val="00AC1454"/>
    <w:rsid w:val="00AC1527"/>
    <w:rsid w:val="00AC22E9"/>
    <w:rsid w:val="00AD7BAB"/>
    <w:rsid w:val="00AE0736"/>
    <w:rsid w:val="00B00359"/>
    <w:rsid w:val="00B01385"/>
    <w:rsid w:val="00B20B23"/>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55BE7"/>
    <w:rsid w:val="00C65F76"/>
    <w:rsid w:val="00C721BB"/>
    <w:rsid w:val="00C82CE4"/>
    <w:rsid w:val="00C83DD9"/>
    <w:rsid w:val="00C93BBC"/>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72892"/>
    <w:rsid w:val="00F8237D"/>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ceipt.taxco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2F9A-E5A9-403C-B877-49AE0325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4273</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exif_MSED_fe5efaca85a12ad116a5525405ea8219c819323e3f6854ac62037a3919181ae7</dc:description>
  <cp:lastModifiedBy>user</cp:lastModifiedBy>
  <cp:revision>3</cp:revision>
  <cp:lastPrinted>2019-08-30T09:30:00Z</cp:lastPrinted>
  <dcterms:created xsi:type="dcterms:W3CDTF">2020-03-03T08:01:00Z</dcterms:created>
  <dcterms:modified xsi:type="dcterms:W3CDTF">2020-03-05T15:56:00Z</dcterms:modified>
</cp:coreProperties>
</file>